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1E253F" w:rsidRPr="001E253F">
        <w:rPr>
          <w:sz w:val="28"/>
        </w:rPr>
        <w:t>Werbemarkt</w:t>
      </w:r>
    </w:p>
    <w:p w:rsidR="00694A63" w:rsidRPr="00694A63" w:rsidRDefault="00694A63">
      <w:pPr>
        <w:pStyle w:val="IQB-Teilaufgabentitel"/>
        <w:rPr>
          <w:b/>
        </w:rPr>
      </w:pP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5"/>
        <w:gridCol w:w="6597"/>
      </w:tblGrid>
      <w:tr w:rsidR="001E253F" w:rsidTr="001E253F">
        <w:tc>
          <w:tcPr>
            <w:tcW w:w="2465" w:type="dxa"/>
            <w:tcBorders>
              <w:top w:val="single" w:sz="4" w:space="0" w:color="auto"/>
              <w:left w:val="single" w:sz="4" w:space="0" w:color="auto"/>
              <w:bottom w:val="dotted" w:sz="4" w:space="0" w:color="auto"/>
              <w:right w:val="dotted" w:sz="4" w:space="0" w:color="auto"/>
            </w:tcBorders>
            <w:vAlign w:val="center"/>
            <w:hideMark/>
          </w:tcPr>
          <w:p w:rsidR="001E253F" w:rsidRDefault="001E253F">
            <w:pPr>
              <w:pStyle w:val="IQB-Merkmal"/>
              <w:rPr>
                <w:rFonts w:cs="Arial"/>
              </w:rPr>
            </w:pPr>
            <w:r>
              <w:rPr>
                <w:rFonts w:cs="Arial"/>
              </w:rPr>
              <w:t>Leitidee</w:t>
            </w:r>
          </w:p>
        </w:tc>
        <w:tc>
          <w:tcPr>
            <w:tcW w:w="6597" w:type="dxa"/>
            <w:tcBorders>
              <w:top w:val="single" w:sz="4" w:space="0" w:color="auto"/>
              <w:left w:val="dotted" w:sz="4" w:space="0" w:color="auto"/>
              <w:bottom w:val="dotted" w:sz="4" w:space="0" w:color="auto"/>
              <w:right w:val="single" w:sz="4" w:space="0" w:color="auto"/>
            </w:tcBorders>
            <w:hideMark/>
          </w:tcPr>
          <w:p w:rsidR="001E253F" w:rsidRDefault="001E253F">
            <w:pPr>
              <w:pStyle w:val="IQB-Merkmalswert"/>
              <w:rPr>
                <w:rFonts w:cs="Arial"/>
              </w:rPr>
            </w:pPr>
            <w:r>
              <w:rPr>
                <w:rFonts w:cs="Arial"/>
              </w:rPr>
              <w:t>5. Daten und Zufall</w:t>
            </w:r>
          </w:p>
        </w:tc>
      </w:tr>
      <w:tr w:rsidR="001E253F" w:rsidTr="001E253F">
        <w:tc>
          <w:tcPr>
            <w:tcW w:w="2465" w:type="dxa"/>
            <w:tcBorders>
              <w:top w:val="dotted" w:sz="4" w:space="0" w:color="auto"/>
              <w:left w:val="single" w:sz="4" w:space="0" w:color="auto"/>
              <w:bottom w:val="dotted" w:sz="4" w:space="0" w:color="auto"/>
              <w:right w:val="dotted" w:sz="4" w:space="0" w:color="auto"/>
            </w:tcBorders>
            <w:vAlign w:val="center"/>
            <w:hideMark/>
          </w:tcPr>
          <w:p w:rsidR="001E253F" w:rsidRDefault="001E253F">
            <w:pPr>
              <w:pStyle w:val="IQB-Merkmal"/>
              <w:rPr>
                <w:rFonts w:cs="Arial"/>
              </w:rPr>
            </w:pPr>
            <w:r>
              <w:rPr>
                <w:rFonts w:cs="Arial"/>
              </w:rPr>
              <w:t>Allgemeine Kompetenzen</w:t>
            </w:r>
          </w:p>
        </w:tc>
        <w:tc>
          <w:tcPr>
            <w:tcW w:w="6597" w:type="dxa"/>
            <w:tcBorders>
              <w:top w:val="dotted" w:sz="4" w:space="0" w:color="auto"/>
              <w:left w:val="dotted" w:sz="4" w:space="0" w:color="auto"/>
              <w:bottom w:val="dotted" w:sz="4" w:space="0" w:color="auto"/>
              <w:right w:val="single" w:sz="4" w:space="0" w:color="auto"/>
            </w:tcBorders>
            <w:hideMark/>
          </w:tcPr>
          <w:p w:rsidR="001E253F" w:rsidRDefault="001E253F">
            <w:pPr>
              <w:pStyle w:val="IQB-Merkmalswert"/>
              <w:rPr>
                <w:rFonts w:cs="Arial"/>
              </w:rPr>
            </w:pPr>
            <w:r>
              <w:rPr>
                <w:rFonts w:cs="Arial"/>
              </w:rPr>
              <w:t>Probleme mathematisch lösen (K2)</w:t>
            </w:r>
          </w:p>
          <w:p w:rsidR="001E253F" w:rsidRDefault="001E253F">
            <w:pPr>
              <w:pStyle w:val="IQB-Merkmalswert"/>
              <w:rPr>
                <w:rFonts w:cs="Arial"/>
              </w:rPr>
            </w:pPr>
            <w:r>
              <w:rPr>
                <w:rFonts w:cs="Arial"/>
              </w:rPr>
              <w:t>Mathematisch modellieren (K3)</w:t>
            </w:r>
          </w:p>
          <w:p w:rsidR="001E253F" w:rsidRDefault="001E253F">
            <w:pPr>
              <w:pStyle w:val="IQB-Merkmalswert"/>
              <w:rPr>
                <w:rFonts w:cs="Arial"/>
              </w:rPr>
            </w:pPr>
            <w:r>
              <w:rPr>
                <w:rFonts w:cs="Arial"/>
              </w:rPr>
              <w:t>Mathematische Darstellungen verwenden (K4)</w:t>
            </w:r>
          </w:p>
          <w:p w:rsidR="001E253F" w:rsidRDefault="001E253F">
            <w:pPr>
              <w:pStyle w:val="IQB-Merkmalswert"/>
              <w:rPr>
                <w:rFonts w:cs="Arial"/>
              </w:rPr>
            </w:pPr>
            <w:r>
              <w:rPr>
                <w:rFonts w:cs="Arial"/>
              </w:rPr>
              <w:t>Mathematisch kommunizieren (K6)</w:t>
            </w:r>
          </w:p>
        </w:tc>
      </w:tr>
      <w:tr w:rsidR="001E253F" w:rsidTr="001E253F">
        <w:tc>
          <w:tcPr>
            <w:tcW w:w="2465" w:type="dxa"/>
            <w:tcBorders>
              <w:top w:val="dotted" w:sz="4" w:space="0" w:color="auto"/>
              <w:left w:val="single" w:sz="4" w:space="0" w:color="auto"/>
              <w:bottom w:val="dotted" w:sz="4" w:space="0" w:color="auto"/>
              <w:right w:val="dotted" w:sz="4" w:space="0" w:color="auto"/>
            </w:tcBorders>
            <w:vAlign w:val="center"/>
            <w:hideMark/>
          </w:tcPr>
          <w:p w:rsidR="001E253F" w:rsidRDefault="001E253F">
            <w:pPr>
              <w:pStyle w:val="IQB-Merkmal"/>
              <w:rPr>
                <w:rFonts w:cs="Arial"/>
              </w:rPr>
            </w:pPr>
            <w:r>
              <w:rPr>
                <w:rFonts w:cs="Arial"/>
              </w:rPr>
              <w:t>Anforderungsbereich</w:t>
            </w:r>
          </w:p>
        </w:tc>
        <w:tc>
          <w:tcPr>
            <w:tcW w:w="6597" w:type="dxa"/>
            <w:tcBorders>
              <w:top w:val="dotted" w:sz="4" w:space="0" w:color="auto"/>
              <w:left w:val="dotted" w:sz="4" w:space="0" w:color="auto"/>
              <w:bottom w:val="dotted" w:sz="4" w:space="0" w:color="auto"/>
              <w:right w:val="single" w:sz="4" w:space="0" w:color="auto"/>
            </w:tcBorders>
            <w:hideMark/>
          </w:tcPr>
          <w:p w:rsidR="001E253F" w:rsidRDefault="001E253F">
            <w:pPr>
              <w:pStyle w:val="IQB-Merkmalswert"/>
              <w:rPr>
                <w:rFonts w:cs="Arial"/>
              </w:rPr>
            </w:pPr>
            <w:r>
              <w:rPr>
                <w:rFonts w:cs="Arial"/>
              </w:rPr>
              <w:t>III</w:t>
            </w:r>
          </w:p>
        </w:tc>
      </w:tr>
      <w:tr w:rsidR="001E253F" w:rsidTr="001E253F">
        <w:tc>
          <w:tcPr>
            <w:tcW w:w="2465" w:type="dxa"/>
            <w:tcBorders>
              <w:top w:val="dotted" w:sz="4" w:space="0" w:color="auto"/>
              <w:left w:val="single" w:sz="4" w:space="0" w:color="auto"/>
              <w:bottom w:val="single" w:sz="4" w:space="0" w:color="auto"/>
              <w:right w:val="dotted" w:sz="4" w:space="0" w:color="auto"/>
            </w:tcBorders>
            <w:vAlign w:val="center"/>
            <w:hideMark/>
          </w:tcPr>
          <w:p w:rsidR="001E253F" w:rsidRDefault="001E253F">
            <w:pPr>
              <w:pStyle w:val="IQB-Merkmal"/>
              <w:rPr>
                <w:rFonts w:cs="Arial"/>
              </w:rPr>
            </w:pPr>
            <w:r>
              <w:rPr>
                <w:rFonts w:cs="Arial"/>
              </w:rPr>
              <w:t>Kompetenzstufe</w:t>
            </w:r>
          </w:p>
        </w:tc>
        <w:tc>
          <w:tcPr>
            <w:tcW w:w="6597" w:type="dxa"/>
            <w:tcBorders>
              <w:top w:val="dotted" w:sz="4" w:space="0" w:color="auto"/>
              <w:left w:val="dotted" w:sz="4" w:space="0" w:color="auto"/>
              <w:bottom w:val="single" w:sz="4" w:space="0" w:color="auto"/>
              <w:right w:val="single" w:sz="4" w:space="0" w:color="auto"/>
            </w:tcBorders>
            <w:hideMark/>
          </w:tcPr>
          <w:p w:rsidR="001E253F" w:rsidRDefault="001E253F">
            <w:pPr>
              <w:pStyle w:val="IQB-Merkmalswert"/>
              <w:rPr>
                <w:rFonts w:cs="Arial"/>
              </w:rPr>
            </w:pPr>
            <w:r>
              <w:rPr>
                <w:rFonts w:cs="Arial"/>
              </w:rPr>
              <w:t>4</w:t>
            </w:r>
          </w:p>
        </w:tc>
      </w:tr>
    </w:tbl>
    <w:p w:rsidR="00694A63" w:rsidRPr="00694A63" w:rsidRDefault="00694A63" w:rsidP="00694A63">
      <w:pPr>
        <w:pStyle w:val="IQB-Teilaufgabentitel"/>
        <w:rPr>
          <w:b/>
        </w:rPr>
      </w:pPr>
      <w:r w:rsidRPr="00694A63">
        <w:rPr>
          <w:b/>
        </w:rPr>
        <w:t>Aufgabenbezogener Kommentar</w:t>
      </w:r>
    </w:p>
    <w:p w:rsidR="001E253F" w:rsidRDefault="001E253F" w:rsidP="001E253F">
      <w:pPr>
        <w:pStyle w:val="IQB-AnweisungenText"/>
        <w:spacing w:before="0"/>
        <w:rPr>
          <w:rFonts w:ascii="Arial" w:hAnsi="Arial"/>
          <w:sz w:val="22"/>
          <w:szCs w:val="22"/>
        </w:rPr>
      </w:pPr>
      <w:r>
        <w:rPr>
          <w:rFonts w:ascii="Arial" w:hAnsi="Arial"/>
          <w:sz w:val="22"/>
          <w:szCs w:val="22"/>
        </w:rPr>
        <w:t xml:space="preserve">Diese Aufgabe ist der Leitidee </w:t>
      </w:r>
      <w:r>
        <w:rPr>
          <w:rFonts w:ascii="Arial" w:hAnsi="Arial"/>
          <w:i/>
          <w:sz w:val="22"/>
          <w:szCs w:val="22"/>
        </w:rPr>
        <w:t>Daten und Zufall</w:t>
      </w:r>
      <w:r>
        <w:rPr>
          <w:rFonts w:ascii="Arial" w:hAnsi="Arial"/>
          <w:sz w:val="22"/>
          <w:szCs w:val="22"/>
        </w:rPr>
        <w:t xml:space="preserve"> (L5) zugeordnet, da sich die Schülerinnen und Schüler mit der Interpretation von statistischen Daten auseinandersetzen.</w:t>
      </w:r>
    </w:p>
    <w:p w:rsidR="001E253F" w:rsidRDefault="001E253F" w:rsidP="001E253F">
      <w:pPr>
        <w:pStyle w:val="IQB-AnweisungenText"/>
        <w:rPr>
          <w:rFonts w:ascii="Arial" w:hAnsi="Arial"/>
          <w:sz w:val="22"/>
          <w:szCs w:val="22"/>
        </w:rPr>
      </w:pPr>
      <w:r>
        <w:rPr>
          <w:rFonts w:ascii="Arial" w:hAnsi="Arial"/>
          <w:sz w:val="22"/>
          <w:szCs w:val="22"/>
        </w:rPr>
        <w:t xml:space="preserve">Zunächst muss die gegebene reale Situation modelliert werden (K3). Es muss eine geeignete Lösungsstrategie entwickelt werden, um den Wert für das Jahr 2018 abzuschätzen. Daher ist auch die Kompetenz </w:t>
      </w:r>
      <w:r>
        <w:rPr>
          <w:rFonts w:ascii="Arial" w:hAnsi="Arial"/>
          <w:i/>
          <w:sz w:val="22"/>
          <w:szCs w:val="22"/>
        </w:rPr>
        <w:t>Probleme mathematisch lösen</w:t>
      </w:r>
      <w:r>
        <w:rPr>
          <w:rFonts w:ascii="Arial" w:hAnsi="Arial"/>
          <w:sz w:val="22"/>
          <w:szCs w:val="22"/>
        </w:rPr>
        <w:t xml:space="preserve"> (K2) erforderlich.</w:t>
      </w:r>
    </w:p>
    <w:p w:rsidR="001E253F" w:rsidRDefault="001E253F" w:rsidP="001E253F">
      <w:pPr>
        <w:pStyle w:val="IQB-AnweisungenText"/>
        <w:rPr>
          <w:rFonts w:ascii="Arial" w:hAnsi="Arial"/>
          <w:sz w:val="22"/>
          <w:szCs w:val="22"/>
        </w:rPr>
      </w:pPr>
      <w:r>
        <w:rPr>
          <w:rFonts w:ascii="Arial" w:hAnsi="Arial"/>
          <w:sz w:val="22"/>
          <w:szCs w:val="22"/>
        </w:rPr>
        <w:t>Zur Bearbeitung der Aufgabe ist es außerdem notwendig, mit einer statistischen Darstellung umzugehen (K4).</w:t>
      </w:r>
    </w:p>
    <w:p w:rsidR="001E253F" w:rsidRDefault="001E253F" w:rsidP="001E253F">
      <w:pPr>
        <w:pStyle w:val="IQB-AnweisungenText"/>
        <w:rPr>
          <w:rFonts w:ascii="Arial" w:hAnsi="Arial"/>
          <w:sz w:val="22"/>
          <w:szCs w:val="22"/>
        </w:rPr>
      </w:pPr>
      <w:r>
        <w:rPr>
          <w:rFonts w:ascii="Arial" w:hAnsi="Arial"/>
          <w:sz w:val="22"/>
          <w:szCs w:val="22"/>
        </w:rPr>
        <w:t xml:space="preserve">Die Kompetenz </w:t>
      </w:r>
      <w:r>
        <w:rPr>
          <w:rFonts w:ascii="Arial" w:hAnsi="Arial"/>
          <w:i/>
          <w:sz w:val="22"/>
          <w:szCs w:val="22"/>
        </w:rPr>
        <w:t>Mathematisch kommunizieren</w:t>
      </w:r>
      <w:r>
        <w:rPr>
          <w:rFonts w:ascii="Arial" w:hAnsi="Arial"/>
          <w:sz w:val="22"/>
          <w:szCs w:val="22"/>
        </w:rPr>
        <w:t xml:space="preserve"> (K6) wird ebenfalls gefordert, da zunächst Informationen aus der Graphik und dem Text entnommen werden und die Überlegungen schließlich dargelegt werden müssen. </w:t>
      </w:r>
    </w:p>
    <w:p w:rsidR="001E253F" w:rsidRDefault="001E253F" w:rsidP="001E253F">
      <w:pPr>
        <w:pStyle w:val="IQB-AnweisungenText"/>
        <w:rPr>
          <w:rFonts w:ascii="Arial" w:hAnsi="Arial"/>
          <w:sz w:val="22"/>
          <w:szCs w:val="22"/>
        </w:rPr>
      </w:pPr>
      <w:r>
        <w:rPr>
          <w:rFonts w:ascii="Arial" w:hAnsi="Arial"/>
          <w:sz w:val="22"/>
          <w:szCs w:val="22"/>
        </w:rPr>
        <w:t>Schülerinnen und Schüler gehen in beiden Teilaufgaben mit Mathematik technisch um (K5), indem sie beispielsweise schätzen, Punkte in einem Diagramm ablesen und Geraden zeichnen. In der Aufgabe werden jedoch vornehmlich andere Kompetenzen fokussiert, weshalb diese Kompetenz (K5) hier nicht zugeordnet wird.</w:t>
      </w:r>
    </w:p>
    <w:p w:rsidR="001E253F" w:rsidRDefault="001E253F" w:rsidP="001E253F">
      <w:pPr>
        <w:pStyle w:val="IQB-AnweisungenText"/>
        <w:rPr>
          <w:rFonts w:ascii="Arial" w:hAnsi="Arial"/>
          <w:sz w:val="22"/>
          <w:szCs w:val="22"/>
        </w:rPr>
      </w:pPr>
      <w:r>
        <w:rPr>
          <w:rFonts w:ascii="Arial" w:hAnsi="Arial"/>
          <w:sz w:val="22"/>
          <w:szCs w:val="22"/>
        </w:rPr>
        <w:t>Die Aufgabe gehört in den Anforderungsbereich III, da es sich bei der Grafik um eine unvertraute Darstellung handelt und die Schülerinnen und Schüler ihre Überlegungen bzgl. der Werte für das Jahr 2010 in einem Argumentationsprozess darlegen müssen.</w:t>
      </w:r>
    </w:p>
    <w:p w:rsidR="00694A63" w:rsidRPr="00694A63" w:rsidRDefault="00694A63" w:rsidP="00694A63">
      <w:pPr>
        <w:pStyle w:val="IQB-Teilaufgabentitel"/>
        <w:rPr>
          <w:b/>
        </w:rPr>
      </w:pPr>
      <w:r w:rsidRPr="00694A63">
        <w:rPr>
          <w:b/>
        </w:rPr>
        <w:t>Anregungen für den Unterricht</w:t>
      </w:r>
    </w:p>
    <w:p w:rsidR="001E253F" w:rsidRDefault="001E253F" w:rsidP="001E253F">
      <w:pPr>
        <w:pStyle w:val="IQB-AnweisungenText"/>
        <w:spacing w:before="0"/>
        <w:rPr>
          <w:rFonts w:ascii="Arial" w:hAnsi="Arial"/>
          <w:sz w:val="22"/>
          <w:szCs w:val="22"/>
        </w:rPr>
      </w:pPr>
      <w:r>
        <w:rPr>
          <w:rFonts w:ascii="Arial" w:hAnsi="Arial"/>
          <w:sz w:val="22"/>
          <w:szCs w:val="22"/>
        </w:rPr>
        <w:t xml:space="preserve">Die Kompetenz </w:t>
      </w:r>
      <w:r>
        <w:rPr>
          <w:rFonts w:ascii="Arial" w:hAnsi="Arial"/>
          <w:i/>
          <w:sz w:val="22"/>
          <w:szCs w:val="22"/>
        </w:rPr>
        <w:t>Mathematische Darstellungen verwenden</w:t>
      </w:r>
      <w:r>
        <w:rPr>
          <w:rFonts w:ascii="Arial" w:hAnsi="Arial"/>
          <w:sz w:val="22"/>
          <w:szCs w:val="22"/>
        </w:rPr>
        <w:t xml:space="preserve"> (K4) ist über den Mathematikunterricht hinaus bedeutsam. Sie wird in zahlreichen Studiengängen vorausgesetzt und spielt auch in der Lebenswelt vieler Menschen eine bedeutsame Rolle. Man denke an dieser Stelle an die Vielzahl von Diagrammen, Schaubildern, Graphen und Tabellen, die uns täglich in Medien, in Aushängen oder in der Arbeitswelt begegnen. All diese Darstellungen sind auch mathematische Darstellungen, wenngleich sie sehr häufig von den im Mathematikunterricht üblichen Darstellungsweisen abweichen. Der verständige Umgang mit der Vielzahl von Darstellungen, die Möglichkeit diese zu deuten oder womöglich verfälschende Darstellungen zu kritisieren beinhaltet die Kompetenz </w:t>
      </w:r>
      <w:r>
        <w:rPr>
          <w:rFonts w:ascii="Arial" w:hAnsi="Arial"/>
          <w:i/>
          <w:sz w:val="22"/>
          <w:szCs w:val="22"/>
        </w:rPr>
        <w:t>Mathematische Darstellungen verwenden</w:t>
      </w:r>
      <w:r>
        <w:rPr>
          <w:rFonts w:ascii="Arial" w:hAnsi="Arial"/>
          <w:sz w:val="22"/>
          <w:szCs w:val="22"/>
        </w:rPr>
        <w:t xml:space="preserve"> (K4), wie sie in den Bildungsstandards gefordert wird. Soll Mathematikunterricht allgemeinbildend sein und sollen Schülerinnen und Schüler zu (bürgerlicher) Mündigkeit befähigt werden, so gilt es insbesondere diese Kompetenz zu fördern.</w:t>
      </w:r>
    </w:p>
    <w:p w:rsidR="001E253F" w:rsidRDefault="001E253F" w:rsidP="001E253F">
      <w:pPr>
        <w:pStyle w:val="IQB-AnweisungenText"/>
        <w:rPr>
          <w:rFonts w:ascii="Arial" w:hAnsi="Arial"/>
          <w:sz w:val="22"/>
          <w:szCs w:val="22"/>
        </w:rPr>
      </w:pPr>
      <w:r>
        <w:rPr>
          <w:rFonts w:ascii="Arial" w:hAnsi="Arial"/>
          <w:sz w:val="22"/>
          <w:szCs w:val="22"/>
        </w:rPr>
        <w:t xml:space="preserve">In der Aufgabe „Werbemarkt“ wird lediglich verlangt, begründet eine Prognose über künftige Werbeausgaben abzugeben. In diesem Fall wird die mathematische Darstellung nicht kritisch </w:t>
      </w:r>
      <w:r>
        <w:rPr>
          <w:rFonts w:ascii="Arial" w:hAnsi="Arial"/>
          <w:sz w:val="22"/>
          <w:szCs w:val="22"/>
        </w:rPr>
        <w:lastRenderedPageBreak/>
        <w:t xml:space="preserve">hinterfragt. Vielmehr wird davon ausgegangen, dass sich ein Muster, welches sich in der Darstellung zeigt, auch in kommenden Jahren fortsetzen wird. Die beispielhaften Antworten aus den Lösungshinweisen belegen das. An dieser Stelle kann man durchaus vom </w:t>
      </w:r>
      <w:r>
        <w:rPr>
          <w:rFonts w:ascii="Arial" w:hAnsi="Arial"/>
          <w:i/>
          <w:sz w:val="22"/>
          <w:szCs w:val="22"/>
        </w:rPr>
        <w:t>Induktionsproblem</w:t>
      </w:r>
      <w:r>
        <w:rPr>
          <w:rFonts w:ascii="Arial" w:hAnsi="Arial"/>
          <w:sz w:val="22"/>
          <w:szCs w:val="22"/>
        </w:rPr>
        <w:t xml:space="preserve"> sprechen, das immer dann auftritt, wenn von einer endlichen Anzahl von Fällen (hier die Ausgaben für Werbung bezogen auf wenige Jahre) auf Ereignisse in der Zukunft (Aufgaben für Werbung in kommenden Jahren) geschlossen wird.</w:t>
      </w:r>
    </w:p>
    <w:p w:rsidR="001E253F" w:rsidRDefault="001E253F" w:rsidP="001E253F">
      <w:pPr>
        <w:pStyle w:val="IQB-AnweisungenText"/>
        <w:rPr>
          <w:rFonts w:ascii="Arial" w:hAnsi="Arial"/>
          <w:sz w:val="22"/>
          <w:szCs w:val="22"/>
        </w:rPr>
      </w:pPr>
      <w:bookmarkStart w:id="0" w:name="_GoBack"/>
      <w:bookmarkEnd w:id="0"/>
      <w:r>
        <w:rPr>
          <w:rFonts w:ascii="Arial" w:hAnsi="Arial"/>
          <w:sz w:val="22"/>
          <w:szCs w:val="22"/>
        </w:rPr>
        <w:t>Es muss im Unterricht deutlich werden, dass es sich dabei stets um sehr vage Prognosen handelt. Anhand der Aufgabe „Werbemarkt“ könnte überlegt werden, welche äußeren, nicht unbedingt vorhersehbaren Ereignisse die Aufgaben für Werbung beeinflussen können. Zu nennen wäre beispielweise die Finanz- und Wirtschaftskrise im Jahre 2008. Des Weiteren kann die Verlässlichkeit der Daten, welche der Darstellung zugrunde liegen, auf Plausibilität geprüft werden. Es wäre zu bedenken, wie überhaupt weltweite Ausgaben für Werbung ermittelt werden können oder ob es sich dabei nicht zwangsläufig um grobe Abschätzungen handeln muss. Ebenso kann die Darstellung Gegenstand kritischer Betrachtung werden. Zu fragen wäre, welche Ungenauigkeiten sich aus der gegebenen Darstellung ergeben.</w:t>
      </w:r>
    </w:p>
    <w:p w:rsidR="001E253F" w:rsidRDefault="001E253F" w:rsidP="001E253F">
      <w:pPr>
        <w:pStyle w:val="IQB-AnweisungenText"/>
        <w:rPr>
          <w:rFonts w:ascii="Arial" w:hAnsi="Arial"/>
          <w:sz w:val="22"/>
          <w:szCs w:val="22"/>
        </w:rPr>
      </w:pPr>
      <w:r>
        <w:rPr>
          <w:rFonts w:ascii="Arial" w:hAnsi="Arial"/>
          <w:sz w:val="22"/>
          <w:szCs w:val="22"/>
        </w:rPr>
        <w:t>Wie eben geschildert, lässt sich eine solche Darstellung kritisch beleuchten. Dies soll als Anregung dafür dienen, im Mathematikunterricht vermehrt echte Darstellungen und damit verbundene Aussagen aus Zeitungen und Internetseiten für eine kritische Analyse zu verwenden.</w:t>
      </w:r>
    </w:p>
    <w:p w:rsidR="00694A63" w:rsidRPr="005B2F65" w:rsidRDefault="00694A63" w:rsidP="001E253F">
      <w:pPr>
        <w:pStyle w:val="IQB-AnweisungenText"/>
        <w:spacing w:before="0"/>
        <w:rPr>
          <w:sz w:val="22"/>
          <w:szCs w:val="22"/>
        </w:rPr>
      </w:pPr>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EB4C3F41-C6DF-4064-AEE8-1EC3C24298B0}"/>
    <w:embedBold r:id="rId2" w:fontKey="{4347A6A9-88D5-47D1-876B-DEB2D58713FE}"/>
    <w:embedItalic r:id="rId3" w:fontKey="{730213F0-CA53-4E1A-B557-152AED3BEBDC}"/>
    <w:embedBoldItalic r:id="rId4" w:fontKey="{5864032C-4DEA-4CDD-94AF-678486C57D9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39390447"/>
    <w:multiLevelType w:val="multilevel"/>
    <w:tmpl w:val="AB72A8F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2"/>
  </w:num>
  <w:num w:numId="5">
    <w:abstractNumId w:val="7"/>
  </w:num>
  <w:num w:numId="6">
    <w:abstractNumId w:val="10"/>
  </w:num>
  <w:num w:numId="7">
    <w:abstractNumId w:val="4"/>
  </w:num>
  <w:num w:numId="8">
    <w:abstractNumId w:val="1"/>
  </w:num>
  <w:num w:numId="9">
    <w:abstractNumId w:val="6"/>
  </w:num>
  <w:num w:numId="10">
    <w:abstractNumId w:val="8"/>
  </w:num>
  <w:num w:numId="11">
    <w:abstractNumId w:val="2"/>
  </w:num>
  <w:num w:numId="12">
    <w:abstractNumId w:val="5"/>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253F"/>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A1E8A"/>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18F47525"/>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410422">
      <w:bodyDiv w:val="1"/>
      <w:marLeft w:val="0"/>
      <w:marRight w:val="0"/>
      <w:marTop w:val="0"/>
      <w:marBottom w:val="0"/>
      <w:divBdr>
        <w:top w:val="none" w:sz="0" w:space="0" w:color="auto"/>
        <w:left w:val="none" w:sz="0" w:space="0" w:color="auto"/>
        <w:bottom w:val="none" w:sz="0" w:space="0" w:color="auto"/>
        <w:right w:val="none" w:sz="0" w:space="0" w:color="auto"/>
      </w:divBdr>
    </w:div>
    <w:div w:id="110562182">
      <w:bodyDiv w:val="1"/>
      <w:marLeft w:val="0"/>
      <w:marRight w:val="0"/>
      <w:marTop w:val="0"/>
      <w:marBottom w:val="0"/>
      <w:divBdr>
        <w:top w:val="none" w:sz="0" w:space="0" w:color="auto"/>
        <w:left w:val="none" w:sz="0" w:space="0" w:color="auto"/>
        <w:bottom w:val="none" w:sz="0" w:space="0" w:color="auto"/>
        <w:right w:val="none" w:sz="0" w:space="0" w:color="auto"/>
      </w:divBdr>
    </w:div>
    <w:div w:id="346911507">
      <w:bodyDiv w:val="1"/>
      <w:marLeft w:val="0"/>
      <w:marRight w:val="0"/>
      <w:marTop w:val="0"/>
      <w:marBottom w:val="0"/>
      <w:divBdr>
        <w:top w:val="none" w:sz="0" w:space="0" w:color="auto"/>
        <w:left w:val="none" w:sz="0" w:space="0" w:color="auto"/>
        <w:bottom w:val="none" w:sz="0" w:space="0" w:color="auto"/>
        <w:right w:val="none" w:sz="0" w:space="0" w:color="auto"/>
      </w:divBdr>
    </w:div>
    <w:div w:id="856508549">
      <w:bodyDiv w:val="1"/>
      <w:marLeft w:val="0"/>
      <w:marRight w:val="0"/>
      <w:marTop w:val="0"/>
      <w:marBottom w:val="0"/>
      <w:divBdr>
        <w:top w:val="none" w:sz="0" w:space="0" w:color="auto"/>
        <w:left w:val="none" w:sz="0" w:space="0" w:color="auto"/>
        <w:bottom w:val="none" w:sz="0" w:space="0" w:color="auto"/>
        <w:right w:val="none" w:sz="0" w:space="0" w:color="auto"/>
      </w:divBdr>
    </w:div>
    <w:div w:id="1172642625">
      <w:bodyDiv w:val="1"/>
      <w:marLeft w:val="0"/>
      <w:marRight w:val="0"/>
      <w:marTop w:val="0"/>
      <w:marBottom w:val="0"/>
      <w:divBdr>
        <w:top w:val="none" w:sz="0" w:space="0" w:color="auto"/>
        <w:left w:val="none" w:sz="0" w:space="0" w:color="auto"/>
        <w:bottom w:val="none" w:sz="0" w:space="0" w:color="auto"/>
        <w:right w:val="none" w:sz="0" w:space="0" w:color="auto"/>
      </w:divBdr>
    </w:div>
    <w:div w:id="1225798500">
      <w:bodyDiv w:val="1"/>
      <w:marLeft w:val="0"/>
      <w:marRight w:val="0"/>
      <w:marTop w:val="0"/>
      <w:marBottom w:val="0"/>
      <w:divBdr>
        <w:top w:val="none" w:sz="0" w:space="0" w:color="auto"/>
        <w:left w:val="none" w:sz="0" w:space="0" w:color="auto"/>
        <w:bottom w:val="none" w:sz="0" w:space="0" w:color="auto"/>
        <w:right w:val="none" w:sz="0" w:space="0" w:color="auto"/>
      </w:divBdr>
    </w:div>
    <w:div w:id="179020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F1421C-0B7A-4FB0-BD83-5EEEC265A2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572</Words>
  <Characters>3783</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2025-07-21T10:53:00Z</dcterms:created>
  <dcterms:modified xsi:type="dcterms:W3CDTF">2025-07-21T10:53:00Z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